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0644" w14:textId="77777777" w:rsidR="0077540F" w:rsidRDefault="0077540F" w:rsidP="0077540F">
      <w:pPr>
        <w:pStyle w:val="BodyText"/>
        <w:spacing w:before="94" w:line="276" w:lineRule="auto"/>
        <w:ind w:left="140" w:right="151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val="en-IN" w:eastAsia="en-IN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val="en-IN" w:eastAsia="en-IN"/>
        </w:rPr>
        <w:t>Annexure I</w:t>
      </w:r>
    </w:p>
    <w:p w14:paraId="5F8B2C8D" w14:textId="77777777" w:rsidR="0077540F" w:rsidRPr="009637C7" w:rsidRDefault="0077540F" w:rsidP="0077540F">
      <w:pPr>
        <w:pStyle w:val="Heading1"/>
        <w:spacing w:before="93"/>
        <w:jc w:val="center"/>
        <w:rPr>
          <w:rFonts w:ascii="Arial" w:hAnsi="Arial" w:cs="Arial"/>
          <w:b/>
          <w:bCs/>
          <w:color w:val="auto"/>
        </w:rPr>
      </w:pPr>
      <w:r w:rsidRPr="009637C7">
        <w:rPr>
          <w:rFonts w:ascii="Arial" w:hAnsi="Arial" w:cs="Arial"/>
          <w:b/>
          <w:bCs/>
          <w:color w:val="auto"/>
        </w:rPr>
        <w:t>Contract Specifications of Silver Grains</w:t>
      </w:r>
    </w:p>
    <w:p w14:paraId="793912DB" w14:textId="77777777" w:rsidR="0077540F" w:rsidRPr="00B04A58" w:rsidRDefault="0077540F" w:rsidP="0077540F">
      <w:pPr>
        <w:pStyle w:val="BodyText"/>
        <w:spacing w:before="6" w:after="1"/>
        <w:rPr>
          <w:b/>
          <w:sz w:val="25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6172"/>
      </w:tblGrid>
      <w:tr w:rsidR="0077540F" w:rsidRPr="00B04A58" w14:paraId="5F19AA02" w14:textId="77777777" w:rsidTr="00DE13C1">
        <w:trPr>
          <w:trHeight w:val="389"/>
        </w:trPr>
        <w:tc>
          <w:tcPr>
            <w:tcW w:w="3550" w:type="dxa"/>
          </w:tcPr>
          <w:p w14:paraId="1D956282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Description</w:t>
            </w:r>
          </w:p>
        </w:tc>
        <w:tc>
          <w:tcPr>
            <w:tcW w:w="6172" w:type="dxa"/>
          </w:tcPr>
          <w:p w14:paraId="06F0CDF3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 w:rsidRPr="00B04A58">
              <w:rPr>
                <w:sz w:val="23"/>
              </w:rPr>
              <w:t>SILVER</w:t>
            </w:r>
            <w:r>
              <w:rPr>
                <w:sz w:val="23"/>
              </w:rPr>
              <w:t xml:space="preserve"> Grains </w:t>
            </w:r>
            <w:r w:rsidRPr="00B04A58">
              <w:rPr>
                <w:sz w:val="23"/>
              </w:rPr>
              <w:t>T+0</w:t>
            </w:r>
          </w:p>
        </w:tc>
      </w:tr>
      <w:tr w:rsidR="0077540F" w:rsidRPr="00B04A58" w14:paraId="4C2379A1" w14:textId="77777777" w:rsidTr="00DE13C1">
        <w:trPr>
          <w:trHeight w:val="389"/>
        </w:trPr>
        <w:tc>
          <w:tcPr>
            <w:tcW w:w="3550" w:type="dxa"/>
          </w:tcPr>
          <w:p w14:paraId="769BFA8C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Period</w:t>
            </w:r>
          </w:p>
        </w:tc>
        <w:tc>
          <w:tcPr>
            <w:tcW w:w="6172" w:type="dxa"/>
          </w:tcPr>
          <w:p w14:paraId="58E7B54F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 w:rsidRPr="00B04A58">
              <w:rPr>
                <w:sz w:val="23"/>
              </w:rPr>
              <w:t>Exchange Business Days</w:t>
            </w:r>
          </w:p>
        </w:tc>
      </w:tr>
      <w:tr w:rsidR="0077540F" w:rsidRPr="00B04A58" w14:paraId="74821931" w14:textId="77777777" w:rsidTr="00DE13C1">
        <w:trPr>
          <w:trHeight w:val="346"/>
        </w:trPr>
        <w:tc>
          <w:tcPr>
            <w:tcW w:w="3550" w:type="dxa"/>
          </w:tcPr>
          <w:p w14:paraId="07FDFED7" w14:textId="77777777" w:rsidR="0077540F" w:rsidRPr="00B04A58" w:rsidRDefault="0077540F" w:rsidP="00DE13C1">
            <w:pPr>
              <w:pStyle w:val="TableParagraph"/>
              <w:spacing w:line="262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Session</w:t>
            </w:r>
          </w:p>
        </w:tc>
        <w:tc>
          <w:tcPr>
            <w:tcW w:w="6172" w:type="dxa"/>
          </w:tcPr>
          <w:p w14:paraId="3626406B" w14:textId="77777777" w:rsidR="0077540F" w:rsidRPr="00B04A58" w:rsidRDefault="0077540F" w:rsidP="00DE13C1">
            <w:pPr>
              <w:pStyle w:val="TableParagraph"/>
              <w:spacing w:before="43"/>
              <w:rPr>
                <w:sz w:val="23"/>
              </w:rPr>
            </w:pPr>
            <w:r w:rsidRPr="00EA2C8F">
              <w:rPr>
                <w:sz w:val="23"/>
              </w:rPr>
              <w:t>09:00 Hrs. to 17:30 Hrs. Indian Standard Time (IST)</w:t>
            </w:r>
          </w:p>
        </w:tc>
      </w:tr>
      <w:tr w:rsidR="0077540F" w:rsidRPr="00B04A58" w14:paraId="48FF2F46" w14:textId="77777777" w:rsidTr="00DE13C1">
        <w:trPr>
          <w:trHeight w:val="391"/>
        </w:trPr>
        <w:tc>
          <w:tcPr>
            <w:tcW w:w="3550" w:type="dxa"/>
          </w:tcPr>
          <w:p w14:paraId="3E0D6237" w14:textId="77777777" w:rsidR="0077540F" w:rsidRPr="00B04A58" w:rsidRDefault="0077540F" w:rsidP="00DE13C1">
            <w:pPr>
              <w:pStyle w:val="TableParagraph"/>
              <w:spacing w:line="262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Unit</w:t>
            </w:r>
          </w:p>
        </w:tc>
        <w:tc>
          <w:tcPr>
            <w:tcW w:w="6172" w:type="dxa"/>
          </w:tcPr>
          <w:p w14:paraId="227DA3BC" w14:textId="77777777" w:rsidR="0077540F" w:rsidRPr="00B04A58" w:rsidRDefault="0077540F" w:rsidP="00DE13C1">
            <w:pPr>
              <w:pStyle w:val="TableParagraph"/>
              <w:rPr>
                <w:sz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20 Kg </w:t>
            </w:r>
          </w:p>
        </w:tc>
      </w:tr>
      <w:tr w:rsidR="0077540F" w:rsidRPr="00B04A58" w14:paraId="509FCFC6" w14:textId="77777777" w:rsidTr="00DE13C1">
        <w:trPr>
          <w:trHeight w:val="389"/>
        </w:trPr>
        <w:tc>
          <w:tcPr>
            <w:tcW w:w="3550" w:type="dxa"/>
          </w:tcPr>
          <w:p w14:paraId="00C57151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Price Quote</w:t>
            </w:r>
          </w:p>
        </w:tc>
        <w:tc>
          <w:tcPr>
            <w:tcW w:w="6172" w:type="dxa"/>
            <w:vAlign w:val="center"/>
          </w:tcPr>
          <w:p w14:paraId="3198DE95" w14:textId="77777777" w:rsidR="0077540F" w:rsidRPr="00B04A58" w:rsidRDefault="0077540F" w:rsidP="00DE13C1">
            <w:pPr>
              <w:pStyle w:val="TableParagraph"/>
              <w:spacing w:before="43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1657B5">
              <w:rPr>
                <w:sz w:val="23"/>
              </w:rPr>
              <w:t>US Dollars per Troy Ounce</w:t>
            </w:r>
          </w:p>
        </w:tc>
      </w:tr>
      <w:tr w:rsidR="0077540F" w:rsidRPr="00B04A58" w14:paraId="02D3A260" w14:textId="77777777" w:rsidTr="00DE13C1">
        <w:trPr>
          <w:trHeight w:val="389"/>
        </w:trPr>
        <w:tc>
          <w:tcPr>
            <w:tcW w:w="3550" w:type="dxa"/>
          </w:tcPr>
          <w:p w14:paraId="1DF2B583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Maximum Order Size</w:t>
            </w:r>
          </w:p>
        </w:tc>
        <w:tc>
          <w:tcPr>
            <w:tcW w:w="6172" w:type="dxa"/>
          </w:tcPr>
          <w:p w14:paraId="032A24D5" w14:textId="77777777" w:rsidR="0077540F" w:rsidRPr="00B04A58" w:rsidRDefault="0077540F" w:rsidP="00DE13C1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5000 Kg</w:t>
            </w:r>
          </w:p>
        </w:tc>
      </w:tr>
      <w:tr w:rsidR="0077540F" w:rsidRPr="00B04A58" w14:paraId="72531F19" w14:textId="77777777" w:rsidTr="00DE13C1">
        <w:trPr>
          <w:trHeight w:val="573"/>
        </w:trPr>
        <w:tc>
          <w:tcPr>
            <w:tcW w:w="3550" w:type="dxa"/>
          </w:tcPr>
          <w:p w14:paraId="0C08E9B0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Tick Size (Minimum Price</w:t>
            </w:r>
          </w:p>
          <w:p w14:paraId="4CF9C0E0" w14:textId="77777777" w:rsidR="0077540F" w:rsidRPr="00B04A58" w:rsidRDefault="0077540F" w:rsidP="00DE13C1">
            <w:pPr>
              <w:pStyle w:val="TableParagraph"/>
              <w:spacing w:before="28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Movement)</w:t>
            </w:r>
          </w:p>
        </w:tc>
        <w:tc>
          <w:tcPr>
            <w:tcW w:w="6172" w:type="dxa"/>
          </w:tcPr>
          <w:p w14:paraId="24692F95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 w:rsidRPr="00B04A5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US$ 0.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005</w:t>
            </w:r>
          </w:p>
        </w:tc>
      </w:tr>
      <w:tr w:rsidR="0077540F" w:rsidRPr="00B04A58" w14:paraId="763F649B" w14:textId="77777777" w:rsidTr="00DE13C1">
        <w:trPr>
          <w:trHeight w:val="390"/>
        </w:trPr>
        <w:tc>
          <w:tcPr>
            <w:tcW w:w="3550" w:type="dxa"/>
          </w:tcPr>
          <w:p w14:paraId="79DCF638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Margin</w:t>
            </w:r>
          </w:p>
        </w:tc>
        <w:tc>
          <w:tcPr>
            <w:tcW w:w="6172" w:type="dxa"/>
          </w:tcPr>
          <w:p w14:paraId="2CDEB12A" w14:textId="77777777" w:rsidR="0077540F" w:rsidRPr="00A428C6" w:rsidRDefault="0077540F" w:rsidP="00DE13C1">
            <w:pPr>
              <w:pStyle w:val="TableParagraph"/>
              <w:spacing w:line="260" w:lineRule="exact"/>
              <w:rPr>
                <w:sz w:val="23"/>
              </w:rPr>
            </w:pPr>
            <w:r w:rsidRPr="00A428C6">
              <w:rPr>
                <w:sz w:val="23"/>
              </w:rPr>
              <w:t>100%</w:t>
            </w:r>
            <w:r>
              <w:rPr>
                <w:sz w:val="23"/>
              </w:rPr>
              <w:t xml:space="preserve"> Early Pay-in from Buyers &amp; Sellers</w:t>
            </w:r>
          </w:p>
        </w:tc>
      </w:tr>
      <w:tr w:rsidR="0077540F" w:rsidRPr="00B04A58" w14:paraId="19062356" w14:textId="77777777" w:rsidTr="00DE13C1">
        <w:trPr>
          <w:trHeight w:val="367"/>
        </w:trPr>
        <w:tc>
          <w:tcPr>
            <w:tcW w:w="9722" w:type="dxa"/>
            <w:gridSpan w:val="2"/>
          </w:tcPr>
          <w:p w14:paraId="79039208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center"/>
              <w:rPr>
                <w:sz w:val="23"/>
              </w:rPr>
            </w:pPr>
            <w:r w:rsidRPr="00B04A58">
              <w:rPr>
                <w:b/>
                <w:sz w:val="23"/>
              </w:rPr>
              <w:t>Delivery</w:t>
            </w:r>
          </w:p>
        </w:tc>
      </w:tr>
      <w:tr w:rsidR="0077540F" w:rsidRPr="00B04A58" w14:paraId="60D8F149" w14:textId="77777777" w:rsidTr="00DE13C1">
        <w:trPr>
          <w:trHeight w:val="426"/>
        </w:trPr>
        <w:tc>
          <w:tcPr>
            <w:tcW w:w="3550" w:type="dxa"/>
          </w:tcPr>
          <w:p w14:paraId="1B865969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Settlement Basis</w:t>
            </w:r>
          </w:p>
        </w:tc>
        <w:tc>
          <w:tcPr>
            <w:tcW w:w="6172" w:type="dxa"/>
          </w:tcPr>
          <w:p w14:paraId="0C20C958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>
              <w:rPr>
                <w:sz w:val="23"/>
              </w:rPr>
              <w:t>Compulsory in BDR form</w:t>
            </w:r>
          </w:p>
        </w:tc>
      </w:tr>
      <w:tr w:rsidR="0077540F" w:rsidRPr="00B04A58" w14:paraId="2325CDD5" w14:textId="77777777" w:rsidTr="00DE13C1">
        <w:trPr>
          <w:trHeight w:val="426"/>
        </w:trPr>
        <w:tc>
          <w:tcPr>
            <w:tcW w:w="3550" w:type="dxa"/>
          </w:tcPr>
          <w:p w14:paraId="7DAD5FD2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Delivery Unit</w:t>
            </w:r>
          </w:p>
        </w:tc>
        <w:tc>
          <w:tcPr>
            <w:tcW w:w="6172" w:type="dxa"/>
          </w:tcPr>
          <w:p w14:paraId="7F42077A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>
              <w:rPr>
                <w:sz w:val="23"/>
              </w:rPr>
              <w:t>20 K</w:t>
            </w:r>
            <w:r w:rsidRPr="00B04A58">
              <w:rPr>
                <w:sz w:val="23"/>
              </w:rPr>
              <w:t>g</w:t>
            </w:r>
          </w:p>
        </w:tc>
      </w:tr>
      <w:tr w:rsidR="0077540F" w:rsidRPr="00B04A58" w14:paraId="263BA7D9" w14:textId="77777777" w:rsidTr="00DE13C1">
        <w:trPr>
          <w:trHeight w:val="403"/>
        </w:trPr>
        <w:tc>
          <w:tcPr>
            <w:tcW w:w="3550" w:type="dxa"/>
          </w:tcPr>
          <w:p w14:paraId="7C561740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Settlement</w:t>
            </w:r>
          </w:p>
        </w:tc>
        <w:tc>
          <w:tcPr>
            <w:tcW w:w="6172" w:type="dxa"/>
          </w:tcPr>
          <w:p w14:paraId="0DC6FF45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B04A58">
              <w:rPr>
                <w:sz w:val="23"/>
              </w:rPr>
              <w:t>T+0</w:t>
            </w:r>
          </w:p>
        </w:tc>
      </w:tr>
      <w:tr w:rsidR="0077540F" w:rsidRPr="00B04A58" w14:paraId="47D567E8" w14:textId="77777777" w:rsidTr="00DE13C1">
        <w:trPr>
          <w:trHeight w:val="403"/>
        </w:trPr>
        <w:tc>
          <w:tcPr>
            <w:tcW w:w="3550" w:type="dxa"/>
          </w:tcPr>
          <w:p w14:paraId="59A308FF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BDR Settlement Timing</w:t>
            </w:r>
          </w:p>
        </w:tc>
        <w:tc>
          <w:tcPr>
            <w:tcW w:w="6172" w:type="dxa"/>
          </w:tcPr>
          <w:p w14:paraId="5E9CFE52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rPr>
                <w:sz w:val="23"/>
              </w:rPr>
              <w:t>Every 30 minutes during Trading Hours</w:t>
            </w:r>
          </w:p>
        </w:tc>
      </w:tr>
      <w:tr w:rsidR="0077540F" w:rsidRPr="00B04A58" w14:paraId="47B5DF15" w14:textId="77777777" w:rsidTr="00DE13C1">
        <w:trPr>
          <w:trHeight w:val="403"/>
        </w:trPr>
        <w:tc>
          <w:tcPr>
            <w:tcW w:w="3550" w:type="dxa"/>
          </w:tcPr>
          <w:p w14:paraId="60FFFA22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BDR Pay-out</w:t>
            </w:r>
          </w:p>
        </w:tc>
        <w:tc>
          <w:tcPr>
            <w:tcW w:w="6172" w:type="dxa"/>
          </w:tcPr>
          <w:p w14:paraId="572BD5CC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563692">
              <w:rPr>
                <w:sz w:val="23"/>
              </w:rPr>
              <w:t>Directly into the Demat Account of Client / LPTM</w:t>
            </w:r>
          </w:p>
        </w:tc>
      </w:tr>
      <w:tr w:rsidR="0077540F" w:rsidRPr="00B04A58" w14:paraId="3344E56B" w14:textId="77777777" w:rsidTr="00DE13C1">
        <w:trPr>
          <w:trHeight w:val="403"/>
        </w:trPr>
        <w:tc>
          <w:tcPr>
            <w:tcW w:w="3550" w:type="dxa"/>
          </w:tcPr>
          <w:p w14:paraId="273BF8A7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Funds Settlement Timing</w:t>
            </w:r>
          </w:p>
        </w:tc>
        <w:tc>
          <w:tcPr>
            <w:tcW w:w="6172" w:type="dxa"/>
          </w:tcPr>
          <w:p w14:paraId="42BEF835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563692">
              <w:rPr>
                <w:sz w:val="23"/>
              </w:rPr>
              <w:t>18:00 Hrs. to 21:00 Hrs. Indian Standard Time (IST) same day</w:t>
            </w:r>
          </w:p>
        </w:tc>
      </w:tr>
      <w:tr w:rsidR="0077540F" w:rsidRPr="00B04A58" w14:paraId="290BFA61" w14:textId="77777777" w:rsidTr="00DE13C1">
        <w:trPr>
          <w:trHeight w:val="1181"/>
        </w:trPr>
        <w:tc>
          <w:tcPr>
            <w:tcW w:w="3550" w:type="dxa"/>
          </w:tcPr>
          <w:p w14:paraId="7521FD61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Quality Specifications</w:t>
            </w:r>
          </w:p>
        </w:tc>
        <w:tc>
          <w:tcPr>
            <w:tcW w:w="6172" w:type="dxa"/>
          </w:tcPr>
          <w:p w14:paraId="34026554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</w:pPr>
            <w:r w:rsidRPr="00B04A58">
              <w:t xml:space="preserve">Grade: 999 and Fineness: 999 (as per IS 2112: 1981) </w:t>
            </w:r>
          </w:p>
          <w:p w14:paraId="5AF6215A" w14:textId="77777777" w:rsidR="0077540F" w:rsidRPr="00B04A58" w:rsidRDefault="0077540F" w:rsidP="0077540F">
            <w:pPr>
              <w:pStyle w:val="TableParagraph"/>
              <w:numPr>
                <w:ilvl w:val="0"/>
                <w:numId w:val="1"/>
              </w:numPr>
              <w:spacing w:before="24" w:line="271" w:lineRule="auto"/>
              <w:ind w:right="288"/>
              <w:jc w:val="both"/>
            </w:pPr>
            <w:r w:rsidRPr="00B04A58">
              <w:t xml:space="preserve">No negative tolerance </w:t>
            </w:r>
            <w:proofErr w:type="gramStart"/>
            <w:r w:rsidRPr="00B04A58">
              <w:t>on</w:t>
            </w:r>
            <w:proofErr w:type="gramEnd"/>
            <w:r w:rsidRPr="00B04A58">
              <w:t xml:space="preserve"> the minimum fineness shall be permitted. </w:t>
            </w:r>
          </w:p>
          <w:p w14:paraId="2F6A71BB" w14:textId="77777777" w:rsidR="0077540F" w:rsidRPr="00B04A58" w:rsidRDefault="0077540F" w:rsidP="0077540F">
            <w:pPr>
              <w:pStyle w:val="TableParagraph"/>
              <w:numPr>
                <w:ilvl w:val="0"/>
                <w:numId w:val="1"/>
              </w:numPr>
              <w:spacing w:before="24" w:line="271" w:lineRule="auto"/>
              <w:ind w:right="288"/>
              <w:jc w:val="both"/>
            </w:pPr>
            <w:r w:rsidRPr="00B04A58">
              <w:t xml:space="preserve">If it is below 999 purity it is rejected. </w:t>
            </w:r>
          </w:p>
          <w:p w14:paraId="2199EC53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t xml:space="preserve">Every bag must be sealed. The seal must carry an identifying number, the Accredited Member’s name, and/or hallmark/brand stamp and the exact total weight of the silver grains </w:t>
            </w:r>
            <w:proofErr w:type="gramStart"/>
            <w:r w:rsidRPr="00C9610F">
              <w:t>contained</w:t>
            </w:r>
            <w:proofErr w:type="gramEnd"/>
            <w:r>
              <w:t xml:space="preserve"> and it must be </w:t>
            </w:r>
            <w:r w:rsidRPr="00B04A58">
              <w:t xml:space="preserve">supplied by LBMA approved suppliers or other suppliers as may be approved by </w:t>
            </w:r>
            <w:r>
              <w:t>IIBX</w:t>
            </w:r>
            <w:r w:rsidRPr="00B04A58">
              <w:t>.</w:t>
            </w:r>
          </w:p>
        </w:tc>
      </w:tr>
      <w:tr w:rsidR="0077540F" w:rsidRPr="00B04A58" w14:paraId="613D3A21" w14:textId="77777777" w:rsidTr="00DE13C1">
        <w:trPr>
          <w:trHeight w:val="326"/>
        </w:trPr>
        <w:tc>
          <w:tcPr>
            <w:tcW w:w="3550" w:type="dxa"/>
          </w:tcPr>
          <w:p w14:paraId="4B9126FE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Delivery Logic</w:t>
            </w:r>
          </w:p>
        </w:tc>
        <w:tc>
          <w:tcPr>
            <w:tcW w:w="6172" w:type="dxa"/>
          </w:tcPr>
          <w:p w14:paraId="1A91AA41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1657B5">
              <w:t>Compulsory in BDR form in the Demat account with the depository.</w:t>
            </w:r>
          </w:p>
        </w:tc>
      </w:tr>
    </w:tbl>
    <w:p w14:paraId="04EBFEE0" w14:textId="77777777" w:rsidR="0077540F" w:rsidRPr="00B04A58" w:rsidRDefault="0077540F" w:rsidP="0077540F">
      <w:pPr>
        <w:rPr>
          <w:sz w:val="23"/>
        </w:rPr>
      </w:pPr>
      <w:r>
        <w:rPr>
          <w:sz w:val="23"/>
        </w:rPr>
        <w:t xml:space="preserve"> </w:t>
      </w:r>
    </w:p>
    <w:p w14:paraId="6C9D86A7" w14:textId="77777777" w:rsidR="0077540F" w:rsidRDefault="0077540F" w:rsidP="0077540F">
      <w:pPr>
        <w:rPr>
          <w:sz w:val="23"/>
        </w:rPr>
      </w:pPr>
    </w:p>
    <w:p w14:paraId="7243A61B" w14:textId="77777777" w:rsidR="0077540F" w:rsidRDefault="0077540F" w:rsidP="0077540F">
      <w:pPr>
        <w:rPr>
          <w:sz w:val="23"/>
        </w:rPr>
      </w:pPr>
    </w:p>
    <w:p w14:paraId="28485A50" w14:textId="77777777" w:rsidR="0077540F" w:rsidRDefault="0077540F" w:rsidP="0077540F">
      <w:pPr>
        <w:rPr>
          <w:sz w:val="23"/>
        </w:rPr>
      </w:pPr>
    </w:p>
    <w:p w14:paraId="7ABD7651" w14:textId="77777777" w:rsidR="0077540F" w:rsidRDefault="0077540F" w:rsidP="0077540F">
      <w:pPr>
        <w:rPr>
          <w:sz w:val="23"/>
        </w:rPr>
      </w:pPr>
    </w:p>
    <w:p w14:paraId="5170F7A9" w14:textId="77777777" w:rsidR="0077540F" w:rsidRDefault="0077540F" w:rsidP="0077540F">
      <w:pPr>
        <w:rPr>
          <w:sz w:val="23"/>
        </w:rPr>
      </w:pPr>
    </w:p>
    <w:p w14:paraId="75DA0082" w14:textId="77777777" w:rsidR="0077540F" w:rsidRDefault="0077540F" w:rsidP="0077540F">
      <w:pPr>
        <w:rPr>
          <w:sz w:val="23"/>
        </w:rPr>
      </w:pPr>
    </w:p>
    <w:p w14:paraId="47526D91" w14:textId="77777777" w:rsidR="0077540F" w:rsidRDefault="0077540F" w:rsidP="0077540F">
      <w:pPr>
        <w:rPr>
          <w:sz w:val="23"/>
        </w:rPr>
      </w:pPr>
    </w:p>
    <w:p w14:paraId="404234B5" w14:textId="77777777" w:rsidR="0077540F" w:rsidRDefault="0077540F" w:rsidP="0077540F">
      <w:pPr>
        <w:rPr>
          <w:sz w:val="23"/>
        </w:rPr>
      </w:pPr>
    </w:p>
    <w:p w14:paraId="46ECE636" w14:textId="77777777" w:rsidR="0077540F" w:rsidRDefault="0077540F" w:rsidP="0077540F">
      <w:pPr>
        <w:rPr>
          <w:sz w:val="23"/>
        </w:rPr>
      </w:pPr>
    </w:p>
    <w:p w14:paraId="1FCAF109" w14:textId="77777777" w:rsidR="0077540F" w:rsidRPr="009637C7" w:rsidRDefault="0077540F" w:rsidP="0077540F">
      <w:pPr>
        <w:pStyle w:val="Heading1"/>
        <w:spacing w:before="93"/>
        <w:jc w:val="center"/>
        <w:rPr>
          <w:rFonts w:ascii="Arial" w:hAnsi="Arial" w:cs="Arial"/>
          <w:b/>
          <w:bCs/>
          <w:color w:val="auto"/>
        </w:rPr>
      </w:pPr>
      <w:r w:rsidRPr="009637C7">
        <w:rPr>
          <w:rFonts w:ascii="Arial" w:hAnsi="Arial" w:cs="Arial"/>
          <w:b/>
          <w:bCs/>
          <w:color w:val="auto"/>
        </w:rPr>
        <w:lastRenderedPageBreak/>
        <w:t>Contract Specifications of UAEGD Silver Grains</w:t>
      </w:r>
    </w:p>
    <w:p w14:paraId="478D9BC5" w14:textId="77777777" w:rsidR="0077540F" w:rsidRPr="00B04A58" w:rsidRDefault="0077540F" w:rsidP="0077540F">
      <w:pPr>
        <w:pStyle w:val="BodyText"/>
        <w:spacing w:before="6" w:after="1"/>
        <w:rPr>
          <w:b/>
          <w:sz w:val="25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597"/>
      </w:tblGrid>
      <w:tr w:rsidR="0077540F" w:rsidRPr="00B04A58" w14:paraId="6187E9CE" w14:textId="77777777" w:rsidTr="00DE13C1">
        <w:trPr>
          <w:trHeight w:val="389"/>
        </w:trPr>
        <w:tc>
          <w:tcPr>
            <w:tcW w:w="3125" w:type="dxa"/>
          </w:tcPr>
          <w:p w14:paraId="1E9DA292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Description</w:t>
            </w:r>
          </w:p>
        </w:tc>
        <w:tc>
          <w:tcPr>
            <w:tcW w:w="6597" w:type="dxa"/>
          </w:tcPr>
          <w:p w14:paraId="207271E4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 xml:space="preserve">UAEGD </w:t>
            </w:r>
            <w:r w:rsidRPr="00B04A58">
              <w:rPr>
                <w:sz w:val="23"/>
              </w:rPr>
              <w:t>SILVER</w:t>
            </w:r>
            <w:r>
              <w:rPr>
                <w:sz w:val="23"/>
              </w:rPr>
              <w:t xml:space="preserve"> Grains </w:t>
            </w:r>
            <w:r w:rsidRPr="00B04A58">
              <w:rPr>
                <w:sz w:val="23"/>
              </w:rPr>
              <w:t>T+0</w:t>
            </w:r>
          </w:p>
        </w:tc>
      </w:tr>
      <w:tr w:rsidR="0077540F" w:rsidRPr="00B04A58" w14:paraId="44FD8011" w14:textId="77777777" w:rsidTr="00DE13C1">
        <w:trPr>
          <w:trHeight w:val="389"/>
        </w:trPr>
        <w:tc>
          <w:tcPr>
            <w:tcW w:w="3125" w:type="dxa"/>
          </w:tcPr>
          <w:p w14:paraId="36216398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Period</w:t>
            </w:r>
          </w:p>
        </w:tc>
        <w:tc>
          <w:tcPr>
            <w:tcW w:w="6597" w:type="dxa"/>
          </w:tcPr>
          <w:p w14:paraId="39F69D4E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 w:rsidRPr="00B04A58">
              <w:rPr>
                <w:sz w:val="23"/>
              </w:rPr>
              <w:t>Exchange Business Days</w:t>
            </w:r>
          </w:p>
        </w:tc>
      </w:tr>
      <w:tr w:rsidR="0077540F" w:rsidRPr="00B04A58" w14:paraId="6B2F5FC5" w14:textId="77777777" w:rsidTr="00DE13C1">
        <w:trPr>
          <w:trHeight w:val="346"/>
        </w:trPr>
        <w:tc>
          <w:tcPr>
            <w:tcW w:w="3125" w:type="dxa"/>
          </w:tcPr>
          <w:p w14:paraId="4C26F7FF" w14:textId="77777777" w:rsidR="0077540F" w:rsidRPr="00B04A58" w:rsidRDefault="0077540F" w:rsidP="00DE13C1">
            <w:pPr>
              <w:pStyle w:val="TableParagraph"/>
              <w:spacing w:line="262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Session</w:t>
            </w:r>
          </w:p>
        </w:tc>
        <w:tc>
          <w:tcPr>
            <w:tcW w:w="6597" w:type="dxa"/>
          </w:tcPr>
          <w:p w14:paraId="0E04DA17" w14:textId="77777777" w:rsidR="0077540F" w:rsidRPr="00B04A58" w:rsidRDefault="0077540F" w:rsidP="00DE13C1">
            <w:pPr>
              <w:pStyle w:val="TableParagraph"/>
              <w:spacing w:before="43"/>
              <w:rPr>
                <w:sz w:val="23"/>
              </w:rPr>
            </w:pPr>
            <w:r w:rsidRPr="00EA2C8F">
              <w:rPr>
                <w:sz w:val="23"/>
              </w:rPr>
              <w:t>09:00 Hrs. to 17:30 Hrs. Indian Standard Time (IST)</w:t>
            </w:r>
          </w:p>
        </w:tc>
      </w:tr>
      <w:tr w:rsidR="0077540F" w:rsidRPr="00B04A58" w14:paraId="28E09041" w14:textId="77777777" w:rsidTr="00DE13C1">
        <w:trPr>
          <w:trHeight w:val="391"/>
        </w:trPr>
        <w:tc>
          <w:tcPr>
            <w:tcW w:w="3125" w:type="dxa"/>
          </w:tcPr>
          <w:p w14:paraId="137A0A58" w14:textId="77777777" w:rsidR="0077540F" w:rsidRPr="00B04A58" w:rsidRDefault="0077540F" w:rsidP="00DE13C1">
            <w:pPr>
              <w:pStyle w:val="TableParagraph"/>
              <w:spacing w:line="262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Unit</w:t>
            </w:r>
          </w:p>
        </w:tc>
        <w:tc>
          <w:tcPr>
            <w:tcW w:w="6597" w:type="dxa"/>
          </w:tcPr>
          <w:p w14:paraId="4BEB9C86" w14:textId="77777777" w:rsidR="0077540F" w:rsidRPr="00B04A58" w:rsidRDefault="0077540F" w:rsidP="00DE13C1">
            <w:pPr>
              <w:pStyle w:val="TableParagraph"/>
              <w:rPr>
                <w:sz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20kg </w:t>
            </w:r>
          </w:p>
        </w:tc>
      </w:tr>
      <w:tr w:rsidR="0077540F" w:rsidRPr="00B04A58" w14:paraId="6F103C6B" w14:textId="77777777" w:rsidTr="00DE13C1">
        <w:trPr>
          <w:trHeight w:val="389"/>
        </w:trPr>
        <w:tc>
          <w:tcPr>
            <w:tcW w:w="3125" w:type="dxa"/>
          </w:tcPr>
          <w:p w14:paraId="4A0AE3B5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Price Quote</w:t>
            </w:r>
          </w:p>
        </w:tc>
        <w:tc>
          <w:tcPr>
            <w:tcW w:w="6597" w:type="dxa"/>
            <w:vAlign w:val="center"/>
          </w:tcPr>
          <w:p w14:paraId="1ECE6548" w14:textId="77777777" w:rsidR="0077540F" w:rsidRPr="00B04A58" w:rsidRDefault="0077540F" w:rsidP="00DE13C1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04A5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US Dollars per Troy Ounce</w:t>
            </w:r>
          </w:p>
        </w:tc>
      </w:tr>
      <w:tr w:rsidR="0077540F" w:rsidRPr="00B04A58" w14:paraId="0C5219D1" w14:textId="77777777" w:rsidTr="00DE13C1">
        <w:trPr>
          <w:trHeight w:val="389"/>
        </w:trPr>
        <w:tc>
          <w:tcPr>
            <w:tcW w:w="3125" w:type="dxa"/>
          </w:tcPr>
          <w:p w14:paraId="5CEAB6BA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Maximum Order Size</w:t>
            </w:r>
          </w:p>
        </w:tc>
        <w:tc>
          <w:tcPr>
            <w:tcW w:w="6597" w:type="dxa"/>
          </w:tcPr>
          <w:p w14:paraId="3370E01A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50</w:t>
            </w:r>
            <w:r w:rsidRPr="00B04A58">
              <w:rPr>
                <w:sz w:val="23"/>
              </w:rPr>
              <w:t>00 kg</w:t>
            </w:r>
          </w:p>
        </w:tc>
      </w:tr>
      <w:tr w:rsidR="0077540F" w:rsidRPr="00B04A58" w14:paraId="3BB8CE6F" w14:textId="77777777" w:rsidTr="00DE13C1">
        <w:trPr>
          <w:trHeight w:val="573"/>
        </w:trPr>
        <w:tc>
          <w:tcPr>
            <w:tcW w:w="3125" w:type="dxa"/>
          </w:tcPr>
          <w:p w14:paraId="44B52EA2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Tick Size (Minimum Price</w:t>
            </w:r>
          </w:p>
          <w:p w14:paraId="75CAD02B" w14:textId="77777777" w:rsidR="0077540F" w:rsidRPr="00B04A58" w:rsidRDefault="0077540F" w:rsidP="00DE13C1">
            <w:pPr>
              <w:pStyle w:val="TableParagraph"/>
              <w:spacing w:before="28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Movement)</w:t>
            </w:r>
          </w:p>
        </w:tc>
        <w:tc>
          <w:tcPr>
            <w:tcW w:w="6597" w:type="dxa"/>
          </w:tcPr>
          <w:p w14:paraId="00A1013A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 w:rsidRPr="00B04A5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US$ 0.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005</w:t>
            </w:r>
          </w:p>
        </w:tc>
      </w:tr>
      <w:tr w:rsidR="0077540F" w:rsidRPr="00B04A58" w14:paraId="2760126D" w14:textId="77777777" w:rsidTr="00DE13C1">
        <w:trPr>
          <w:trHeight w:val="390"/>
        </w:trPr>
        <w:tc>
          <w:tcPr>
            <w:tcW w:w="3125" w:type="dxa"/>
          </w:tcPr>
          <w:p w14:paraId="3BD4534A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Margin</w:t>
            </w:r>
          </w:p>
        </w:tc>
        <w:tc>
          <w:tcPr>
            <w:tcW w:w="6597" w:type="dxa"/>
          </w:tcPr>
          <w:p w14:paraId="5B8C1074" w14:textId="77777777" w:rsidR="0077540F" w:rsidRPr="00A428C6" w:rsidRDefault="0077540F" w:rsidP="00DE13C1">
            <w:pPr>
              <w:pStyle w:val="TableParagraph"/>
              <w:spacing w:line="260" w:lineRule="exact"/>
              <w:rPr>
                <w:sz w:val="23"/>
              </w:rPr>
            </w:pPr>
            <w:r w:rsidRPr="00A428C6">
              <w:rPr>
                <w:sz w:val="23"/>
              </w:rPr>
              <w:t>100%</w:t>
            </w:r>
            <w:r>
              <w:rPr>
                <w:sz w:val="23"/>
              </w:rPr>
              <w:t xml:space="preserve"> Early Pay-in from Buyers &amp; Sellers</w:t>
            </w:r>
          </w:p>
        </w:tc>
      </w:tr>
      <w:tr w:rsidR="0077540F" w:rsidRPr="00B04A58" w14:paraId="0C02D68C" w14:textId="77777777" w:rsidTr="00DE13C1">
        <w:trPr>
          <w:trHeight w:val="367"/>
        </w:trPr>
        <w:tc>
          <w:tcPr>
            <w:tcW w:w="9722" w:type="dxa"/>
            <w:gridSpan w:val="2"/>
          </w:tcPr>
          <w:p w14:paraId="2BAFA2BC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center"/>
              <w:rPr>
                <w:sz w:val="23"/>
              </w:rPr>
            </w:pPr>
            <w:r w:rsidRPr="00B04A58">
              <w:rPr>
                <w:b/>
                <w:sz w:val="23"/>
              </w:rPr>
              <w:t>Delivery</w:t>
            </w:r>
          </w:p>
        </w:tc>
      </w:tr>
      <w:tr w:rsidR="0077540F" w:rsidRPr="00B04A58" w14:paraId="0C07DA55" w14:textId="77777777" w:rsidTr="00DE13C1">
        <w:trPr>
          <w:trHeight w:val="426"/>
        </w:trPr>
        <w:tc>
          <w:tcPr>
            <w:tcW w:w="3125" w:type="dxa"/>
          </w:tcPr>
          <w:p w14:paraId="63ED80F0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Settlement Basis</w:t>
            </w:r>
          </w:p>
        </w:tc>
        <w:tc>
          <w:tcPr>
            <w:tcW w:w="6597" w:type="dxa"/>
          </w:tcPr>
          <w:p w14:paraId="29786D5A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>
              <w:rPr>
                <w:sz w:val="23"/>
              </w:rPr>
              <w:t>Compulsory in BDR form</w:t>
            </w:r>
          </w:p>
        </w:tc>
      </w:tr>
      <w:tr w:rsidR="0077540F" w:rsidRPr="00B04A58" w14:paraId="7A0647E4" w14:textId="77777777" w:rsidTr="00DE13C1">
        <w:trPr>
          <w:trHeight w:val="426"/>
        </w:trPr>
        <w:tc>
          <w:tcPr>
            <w:tcW w:w="3125" w:type="dxa"/>
          </w:tcPr>
          <w:p w14:paraId="244FB10B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Delivery Unit</w:t>
            </w:r>
          </w:p>
        </w:tc>
        <w:tc>
          <w:tcPr>
            <w:tcW w:w="6597" w:type="dxa"/>
          </w:tcPr>
          <w:p w14:paraId="2047B563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>
              <w:rPr>
                <w:sz w:val="23"/>
              </w:rPr>
              <w:t>20</w:t>
            </w:r>
            <w:r w:rsidRPr="00B04A58">
              <w:rPr>
                <w:sz w:val="23"/>
              </w:rPr>
              <w:t>kg</w:t>
            </w:r>
          </w:p>
        </w:tc>
      </w:tr>
      <w:tr w:rsidR="0077540F" w:rsidRPr="00B04A58" w14:paraId="597550E9" w14:textId="77777777" w:rsidTr="00DE13C1">
        <w:trPr>
          <w:trHeight w:val="403"/>
        </w:trPr>
        <w:tc>
          <w:tcPr>
            <w:tcW w:w="3125" w:type="dxa"/>
          </w:tcPr>
          <w:p w14:paraId="5E00E71E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Settlement</w:t>
            </w:r>
          </w:p>
        </w:tc>
        <w:tc>
          <w:tcPr>
            <w:tcW w:w="6597" w:type="dxa"/>
          </w:tcPr>
          <w:p w14:paraId="63AF5C50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B04A58">
              <w:rPr>
                <w:sz w:val="23"/>
              </w:rPr>
              <w:t>T+0</w:t>
            </w:r>
          </w:p>
        </w:tc>
      </w:tr>
      <w:tr w:rsidR="0077540F" w:rsidRPr="00B04A58" w14:paraId="12DF9808" w14:textId="77777777" w:rsidTr="00DE13C1">
        <w:trPr>
          <w:trHeight w:val="403"/>
        </w:trPr>
        <w:tc>
          <w:tcPr>
            <w:tcW w:w="3125" w:type="dxa"/>
          </w:tcPr>
          <w:p w14:paraId="04ADF169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BDR Settlement Timing</w:t>
            </w:r>
          </w:p>
        </w:tc>
        <w:tc>
          <w:tcPr>
            <w:tcW w:w="6597" w:type="dxa"/>
          </w:tcPr>
          <w:p w14:paraId="2012F8CD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rPr>
                <w:sz w:val="23"/>
              </w:rPr>
              <w:t>Every 30 minutes during Trading Hours</w:t>
            </w:r>
          </w:p>
        </w:tc>
      </w:tr>
      <w:tr w:rsidR="0077540F" w:rsidRPr="00B04A58" w14:paraId="6CCD9DAF" w14:textId="77777777" w:rsidTr="00DE13C1">
        <w:trPr>
          <w:trHeight w:val="403"/>
        </w:trPr>
        <w:tc>
          <w:tcPr>
            <w:tcW w:w="3125" w:type="dxa"/>
          </w:tcPr>
          <w:p w14:paraId="26D8304B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BDR Pay-out</w:t>
            </w:r>
          </w:p>
        </w:tc>
        <w:tc>
          <w:tcPr>
            <w:tcW w:w="6597" w:type="dxa"/>
          </w:tcPr>
          <w:p w14:paraId="4EC1685D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563692">
              <w:rPr>
                <w:sz w:val="23"/>
              </w:rPr>
              <w:t>Directly into the Demat Account of Client / LPTM</w:t>
            </w:r>
          </w:p>
        </w:tc>
      </w:tr>
      <w:tr w:rsidR="0077540F" w:rsidRPr="00B04A58" w14:paraId="29D7643E" w14:textId="77777777" w:rsidTr="00DE13C1">
        <w:trPr>
          <w:trHeight w:val="403"/>
        </w:trPr>
        <w:tc>
          <w:tcPr>
            <w:tcW w:w="3125" w:type="dxa"/>
          </w:tcPr>
          <w:p w14:paraId="272743FA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Funds Settlement Timing</w:t>
            </w:r>
          </w:p>
        </w:tc>
        <w:tc>
          <w:tcPr>
            <w:tcW w:w="6597" w:type="dxa"/>
          </w:tcPr>
          <w:p w14:paraId="28679BF9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563692">
              <w:rPr>
                <w:sz w:val="23"/>
              </w:rPr>
              <w:t>18:00 Hrs. to 21:00 Hrs. Indian Standard Time (IST) same day</w:t>
            </w:r>
          </w:p>
        </w:tc>
      </w:tr>
      <w:tr w:rsidR="0077540F" w:rsidRPr="00B04A58" w14:paraId="4F20B544" w14:textId="77777777" w:rsidTr="00DE13C1">
        <w:trPr>
          <w:trHeight w:val="1181"/>
        </w:trPr>
        <w:tc>
          <w:tcPr>
            <w:tcW w:w="3125" w:type="dxa"/>
          </w:tcPr>
          <w:p w14:paraId="472D6E9F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Quality Specifications</w:t>
            </w:r>
          </w:p>
        </w:tc>
        <w:tc>
          <w:tcPr>
            <w:tcW w:w="6597" w:type="dxa"/>
          </w:tcPr>
          <w:p w14:paraId="34F9AA45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</w:pPr>
            <w:r w:rsidRPr="00B04A58">
              <w:t xml:space="preserve">Grade: 999 and Fineness: 999 (as per IS 2112: 1981) </w:t>
            </w:r>
          </w:p>
          <w:p w14:paraId="6905F11B" w14:textId="77777777" w:rsidR="0077540F" w:rsidRPr="00B04A58" w:rsidRDefault="0077540F" w:rsidP="0077540F">
            <w:pPr>
              <w:pStyle w:val="TableParagraph"/>
              <w:numPr>
                <w:ilvl w:val="0"/>
                <w:numId w:val="1"/>
              </w:numPr>
              <w:spacing w:before="24" w:line="271" w:lineRule="auto"/>
              <w:ind w:right="288"/>
              <w:jc w:val="both"/>
            </w:pPr>
            <w:r w:rsidRPr="00B04A58">
              <w:t xml:space="preserve">No negative tolerance </w:t>
            </w:r>
            <w:proofErr w:type="gramStart"/>
            <w:r w:rsidRPr="00B04A58">
              <w:t>on</w:t>
            </w:r>
            <w:proofErr w:type="gramEnd"/>
            <w:r w:rsidRPr="00B04A58">
              <w:t xml:space="preserve"> the minimum fineness shall be permitted. </w:t>
            </w:r>
          </w:p>
          <w:p w14:paraId="23FF830F" w14:textId="77777777" w:rsidR="0077540F" w:rsidRPr="00B04A58" w:rsidRDefault="0077540F" w:rsidP="0077540F">
            <w:pPr>
              <w:pStyle w:val="TableParagraph"/>
              <w:numPr>
                <w:ilvl w:val="0"/>
                <w:numId w:val="1"/>
              </w:numPr>
              <w:spacing w:before="24" w:line="271" w:lineRule="auto"/>
              <w:ind w:right="288"/>
              <w:jc w:val="both"/>
            </w:pPr>
            <w:r w:rsidRPr="00B04A58">
              <w:t xml:space="preserve">If it is below 999 purity it is rejected. </w:t>
            </w:r>
          </w:p>
          <w:p w14:paraId="1C539FA8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t xml:space="preserve">Every bag must be sealed. The seal must carry an identifying number, the Accredited Member’s name, and/or hallmark/brand stamp and the exact total weight of the silver grains </w:t>
            </w:r>
            <w:proofErr w:type="gramStart"/>
            <w:r w:rsidRPr="00C9610F">
              <w:t>contained</w:t>
            </w:r>
            <w:proofErr w:type="gramEnd"/>
            <w:r>
              <w:t xml:space="preserve"> and it must be </w:t>
            </w:r>
            <w:r w:rsidRPr="00B04A58">
              <w:t xml:space="preserve">supplied by </w:t>
            </w:r>
            <w:r w:rsidRPr="00176B66">
              <w:t xml:space="preserve">UAE Good Delivery (UAEGD) approved suppliers or other suppliers as may be approved by IIBX. These </w:t>
            </w:r>
            <w:r>
              <w:t>Silver</w:t>
            </w:r>
            <w:r w:rsidRPr="00176B66">
              <w:t xml:space="preserve"> </w:t>
            </w:r>
            <w:r>
              <w:t>Grains</w:t>
            </w:r>
            <w:r w:rsidRPr="00176B66">
              <w:t xml:space="preserve"> are to be submitted along with supplier’s quality certificate.</w:t>
            </w:r>
          </w:p>
        </w:tc>
      </w:tr>
      <w:tr w:rsidR="0077540F" w:rsidRPr="00B04A58" w14:paraId="4B5A3D32" w14:textId="77777777" w:rsidTr="00DE13C1">
        <w:trPr>
          <w:trHeight w:val="950"/>
        </w:trPr>
        <w:tc>
          <w:tcPr>
            <w:tcW w:w="3125" w:type="dxa"/>
          </w:tcPr>
          <w:p w14:paraId="34D6C540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176B66">
              <w:rPr>
                <w:b/>
                <w:sz w:val="23"/>
              </w:rPr>
              <w:t>Country of Origin</w:t>
            </w:r>
          </w:p>
        </w:tc>
        <w:tc>
          <w:tcPr>
            <w:tcW w:w="6597" w:type="dxa"/>
          </w:tcPr>
          <w:p w14:paraId="2E59F008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</w:pP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While depositing </w:t>
            </w:r>
            <w:r>
              <w:rPr>
                <w:rFonts w:eastAsia="Times New Roman"/>
                <w:color w:val="000000"/>
                <w:lang w:val="en-IN" w:eastAsia="en-IN"/>
              </w:rPr>
              <w:t>Silver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r>
              <w:rPr>
                <w:rFonts w:eastAsia="Times New Roman"/>
                <w:color w:val="000000"/>
                <w:lang w:val="en-IN" w:eastAsia="en-IN"/>
              </w:rPr>
              <w:t xml:space="preserve">Grains 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in the vaults, the </w:t>
            </w:r>
            <w:r>
              <w:rPr>
                <w:rFonts w:eastAsia="Times New Roman"/>
                <w:color w:val="000000"/>
                <w:lang w:val="en-IN" w:eastAsia="en-IN"/>
              </w:rPr>
              <w:t>Q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ualified </w:t>
            </w:r>
            <w:r>
              <w:rPr>
                <w:rFonts w:eastAsia="Times New Roman"/>
                <w:color w:val="000000"/>
                <w:lang w:val="en-IN" w:eastAsia="en-IN"/>
              </w:rPr>
              <w:t>S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>upplier</w:t>
            </w:r>
            <w:r>
              <w:rPr>
                <w:rFonts w:eastAsia="Times New Roman"/>
                <w:color w:val="000000"/>
                <w:lang w:val="en-IN" w:eastAsia="en-IN"/>
              </w:rPr>
              <w:t xml:space="preserve"> (First Importer in India) 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must produce a Certificate of Origin issued by </w:t>
            </w:r>
            <w:r>
              <w:rPr>
                <w:rFonts w:eastAsia="Times New Roman"/>
                <w:color w:val="000000"/>
                <w:lang w:val="en-IN" w:eastAsia="en-IN"/>
              </w:rPr>
              <w:t>concerned authorities</w:t>
            </w:r>
            <w:r w:rsidRPr="00563692"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in UAE.</w:t>
            </w:r>
          </w:p>
        </w:tc>
      </w:tr>
      <w:tr w:rsidR="0077540F" w:rsidRPr="00B04A58" w14:paraId="679C848C" w14:textId="77777777" w:rsidTr="00DE13C1">
        <w:trPr>
          <w:trHeight w:val="326"/>
        </w:trPr>
        <w:tc>
          <w:tcPr>
            <w:tcW w:w="3125" w:type="dxa"/>
          </w:tcPr>
          <w:p w14:paraId="5FEA7C48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Delivery Logic</w:t>
            </w:r>
          </w:p>
        </w:tc>
        <w:tc>
          <w:tcPr>
            <w:tcW w:w="6597" w:type="dxa"/>
          </w:tcPr>
          <w:p w14:paraId="41AEBD2F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rPr>
                <w:sz w:val="23"/>
              </w:rPr>
              <w:t>Compulsory in BDR form in the Demat account with the depository</w:t>
            </w:r>
            <w:r>
              <w:rPr>
                <w:sz w:val="23"/>
              </w:rPr>
              <w:t>.</w:t>
            </w:r>
          </w:p>
        </w:tc>
      </w:tr>
    </w:tbl>
    <w:p w14:paraId="7A95CBD8" w14:textId="77777777" w:rsidR="0077540F" w:rsidRPr="00B04A58" w:rsidRDefault="0077540F" w:rsidP="0077540F">
      <w:pPr>
        <w:rPr>
          <w:sz w:val="23"/>
        </w:rPr>
      </w:pPr>
    </w:p>
    <w:p w14:paraId="5FBA0744" w14:textId="77777777" w:rsidR="0077540F" w:rsidRDefault="0077540F" w:rsidP="0077540F">
      <w:pPr>
        <w:rPr>
          <w:sz w:val="23"/>
        </w:rPr>
      </w:pPr>
    </w:p>
    <w:p w14:paraId="7EB5A7D2" w14:textId="77777777" w:rsidR="0077540F" w:rsidRDefault="0077540F" w:rsidP="0077540F">
      <w:pPr>
        <w:rPr>
          <w:sz w:val="23"/>
        </w:rPr>
      </w:pPr>
    </w:p>
    <w:p w14:paraId="19F4279D" w14:textId="77777777" w:rsidR="0077540F" w:rsidRDefault="0077540F" w:rsidP="0077540F">
      <w:pPr>
        <w:rPr>
          <w:sz w:val="23"/>
        </w:rPr>
      </w:pPr>
    </w:p>
    <w:p w14:paraId="46A0837B" w14:textId="77777777" w:rsidR="0077540F" w:rsidRDefault="0077540F" w:rsidP="0077540F">
      <w:pPr>
        <w:rPr>
          <w:sz w:val="23"/>
        </w:rPr>
      </w:pPr>
    </w:p>
    <w:p w14:paraId="16E0F089" w14:textId="77777777" w:rsidR="0077540F" w:rsidRDefault="0077540F" w:rsidP="0077540F">
      <w:pPr>
        <w:rPr>
          <w:sz w:val="23"/>
        </w:rPr>
      </w:pPr>
    </w:p>
    <w:p w14:paraId="6C38ADEE" w14:textId="77777777" w:rsidR="0077540F" w:rsidRPr="009637C7" w:rsidRDefault="0077540F" w:rsidP="0077540F">
      <w:pPr>
        <w:pStyle w:val="Heading1"/>
        <w:spacing w:before="93"/>
        <w:jc w:val="center"/>
        <w:rPr>
          <w:rFonts w:ascii="Arial" w:hAnsi="Arial" w:cs="Arial"/>
          <w:b/>
          <w:bCs/>
          <w:color w:val="auto"/>
        </w:rPr>
      </w:pPr>
      <w:r w:rsidRPr="009637C7">
        <w:rPr>
          <w:rFonts w:ascii="Arial" w:hAnsi="Arial" w:cs="Arial"/>
          <w:b/>
          <w:bCs/>
          <w:color w:val="auto"/>
        </w:rPr>
        <w:lastRenderedPageBreak/>
        <w:t>Contract Specifications of UAEGD CEPA Silver Grains</w:t>
      </w:r>
    </w:p>
    <w:p w14:paraId="55757FB1" w14:textId="77777777" w:rsidR="0077540F" w:rsidRPr="009637C7" w:rsidRDefault="0077540F" w:rsidP="0077540F"/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597"/>
      </w:tblGrid>
      <w:tr w:rsidR="0077540F" w:rsidRPr="00B04A58" w14:paraId="7B33D6F4" w14:textId="77777777" w:rsidTr="00DE13C1">
        <w:trPr>
          <w:trHeight w:val="389"/>
        </w:trPr>
        <w:tc>
          <w:tcPr>
            <w:tcW w:w="3125" w:type="dxa"/>
          </w:tcPr>
          <w:p w14:paraId="17B08970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Description</w:t>
            </w:r>
          </w:p>
        </w:tc>
        <w:tc>
          <w:tcPr>
            <w:tcW w:w="6597" w:type="dxa"/>
          </w:tcPr>
          <w:p w14:paraId="6A9542E2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 xml:space="preserve">UAEGDCEPA </w:t>
            </w:r>
            <w:r w:rsidRPr="00B04A58">
              <w:rPr>
                <w:sz w:val="23"/>
              </w:rPr>
              <w:t>SILVER</w:t>
            </w:r>
            <w:r>
              <w:rPr>
                <w:sz w:val="23"/>
              </w:rPr>
              <w:t xml:space="preserve"> Grains </w:t>
            </w:r>
            <w:r w:rsidRPr="00B04A58">
              <w:rPr>
                <w:sz w:val="23"/>
              </w:rPr>
              <w:t>T+0</w:t>
            </w:r>
          </w:p>
        </w:tc>
      </w:tr>
      <w:tr w:rsidR="0077540F" w:rsidRPr="00B04A58" w14:paraId="7419C179" w14:textId="77777777" w:rsidTr="00DE13C1">
        <w:trPr>
          <w:trHeight w:val="389"/>
        </w:trPr>
        <w:tc>
          <w:tcPr>
            <w:tcW w:w="3125" w:type="dxa"/>
          </w:tcPr>
          <w:p w14:paraId="0ECA3C57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Period</w:t>
            </w:r>
          </w:p>
        </w:tc>
        <w:tc>
          <w:tcPr>
            <w:tcW w:w="6597" w:type="dxa"/>
          </w:tcPr>
          <w:p w14:paraId="7F798615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 w:rsidRPr="00B04A58">
              <w:rPr>
                <w:sz w:val="23"/>
              </w:rPr>
              <w:t>Exchange Business Days</w:t>
            </w:r>
          </w:p>
        </w:tc>
      </w:tr>
      <w:tr w:rsidR="0077540F" w:rsidRPr="00B04A58" w14:paraId="1142B8BD" w14:textId="77777777" w:rsidTr="00DE13C1">
        <w:trPr>
          <w:trHeight w:val="346"/>
        </w:trPr>
        <w:tc>
          <w:tcPr>
            <w:tcW w:w="3125" w:type="dxa"/>
          </w:tcPr>
          <w:p w14:paraId="1B2023E3" w14:textId="77777777" w:rsidR="0077540F" w:rsidRPr="00B04A58" w:rsidRDefault="0077540F" w:rsidP="00DE13C1">
            <w:pPr>
              <w:pStyle w:val="TableParagraph"/>
              <w:spacing w:line="262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Session</w:t>
            </w:r>
          </w:p>
        </w:tc>
        <w:tc>
          <w:tcPr>
            <w:tcW w:w="6597" w:type="dxa"/>
          </w:tcPr>
          <w:p w14:paraId="3B0D88B7" w14:textId="77777777" w:rsidR="0077540F" w:rsidRPr="00B04A58" w:rsidRDefault="0077540F" w:rsidP="00DE13C1">
            <w:pPr>
              <w:pStyle w:val="TableParagraph"/>
              <w:spacing w:before="43"/>
              <w:rPr>
                <w:sz w:val="23"/>
              </w:rPr>
            </w:pPr>
            <w:r w:rsidRPr="00EA2C8F">
              <w:rPr>
                <w:sz w:val="23"/>
              </w:rPr>
              <w:t>09:00 Hrs. to 17:30 Hrs. Indian Standard Time (IST)</w:t>
            </w:r>
          </w:p>
        </w:tc>
      </w:tr>
      <w:tr w:rsidR="0077540F" w:rsidRPr="00B04A58" w14:paraId="14B03F64" w14:textId="77777777" w:rsidTr="00DE13C1">
        <w:trPr>
          <w:trHeight w:val="391"/>
        </w:trPr>
        <w:tc>
          <w:tcPr>
            <w:tcW w:w="3125" w:type="dxa"/>
          </w:tcPr>
          <w:p w14:paraId="47B5DF7C" w14:textId="77777777" w:rsidR="0077540F" w:rsidRPr="00B04A58" w:rsidRDefault="0077540F" w:rsidP="00DE13C1">
            <w:pPr>
              <w:pStyle w:val="TableParagraph"/>
              <w:spacing w:line="262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Trading Unit</w:t>
            </w:r>
          </w:p>
        </w:tc>
        <w:tc>
          <w:tcPr>
            <w:tcW w:w="6597" w:type="dxa"/>
          </w:tcPr>
          <w:p w14:paraId="274B7410" w14:textId="77777777" w:rsidR="0077540F" w:rsidRPr="00B04A58" w:rsidRDefault="0077540F" w:rsidP="00DE13C1">
            <w:pPr>
              <w:pStyle w:val="TableParagraph"/>
              <w:rPr>
                <w:sz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20kg </w:t>
            </w:r>
          </w:p>
        </w:tc>
      </w:tr>
      <w:tr w:rsidR="0077540F" w:rsidRPr="00B04A58" w14:paraId="45D703B9" w14:textId="77777777" w:rsidTr="00DE13C1">
        <w:trPr>
          <w:trHeight w:val="389"/>
        </w:trPr>
        <w:tc>
          <w:tcPr>
            <w:tcW w:w="3125" w:type="dxa"/>
          </w:tcPr>
          <w:p w14:paraId="487C8DEF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Price Quote</w:t>
            </w:r>
          </w:p>
        </w:tc>
        <w:tc>
          <w:tcPr>
            <w:tcW w:w="6597" w:type="dxa"/>
            <w:vAlign w:val="center"/>
          </w:tcPr>
          <w:p w14:paraId="6D5DE2E9" w14:textId="77777777" w:rsidR="0077540F" w:rsidRPr="00B04A58" w:rsidRDefault="0077540F" w:rsidP="00DE13C1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04A5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US Dollars per Troy Ounce</w:t>
            </w:r>
          </w:p>
        </w:tc>
      </w:tr>
      <w:tr w:rsidR="0077540F" w:rsidRPr="00B04A58" w14:paraId="288C28CC" w14:textId="77777777" w:rsidTr="00DE13C1">
        <w:trPr>
          <w:trHeight w:val="389"/>
        </w:trPr>
        <w:tc>
          <w:tcPr>
            <w:tcW w:w="3125" w:type="dxa"/>
          </w:tcPr>
          <w:p w14:paraId="64B6AC71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Maximum Order Size</w:t>
            </w:r>
          </w:p>
        </w:tc>
        <w:tc>
          <w:tcPr>
            <w:tcW w:w="6597" w:type="dxa"/>
          </w:tcPr>
          <w:p w14:paraId="4F025BE4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50</w:t>
            </w:r>
            <w:r w:rsidRPr="00B04A58">
              <w:rPr>
                <w:sz w:val="23"/>
              </w:rPr>
              <w:t>00 kg</w:t>
            </w:r>
          </w:p>
        </w:tc>
      </w:tr>
      <w:tr w:rsidR="0077540F" w:rsidRPr="00B04A58" w14:paraId="36A7685C" w14:textId="77777777" w:rsidTr="00DE13C1">
        <w:trPr>
          <w:trHeight w:val="573"/>
        </w:trPr>
        <w:tc>
          <w:tcPr>
            <w:tcW w:w="3125" w:type="dxa"/>
          </w:tcPr>
          <w:p w14:paraId="2405F453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Tick Size (Minimum Price</w:t>
            </w:r>
          </w:p>
          <w:p w14:paraId="137AE24E" w14:textId="77777777" w:rsidR="0077540F" w:rsidRPr="00B04A58" w:rsidRDefault="0077540F" w:rsidP="00DE13C1">
            <w:pPr>
              <w:pStyle w:val="TableParagraph"/>
              <w:spacing w:before="28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Movement)</w:t>
            </w:r>
          </w:p>
        </w:tc>
        <w:tc>
          <w:tcPr>
            <w:tcW w:w="6597" w:type="dxa"/>
          </w:tcPr>
          <w:p w14:paraId="6C488F1E" w14:textId="77777777" w:rsidR="0077540F" w:rsidRPr="00B04A58" w:rsidRDefault="0077540F" w:rsidP="00DE13C1">
            <w:pPr>
              <w:pStyle w:val="TableParagraph"/>
              <w:spacing w:line="262" w:lineRule="exact"/>
              <w:rPr>
                <w:sz w:val="23"/>
              </w:rPr>
            </w:pPr>
            <w:r w:rsidRPr="00B04A5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US$ 0.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005</w:t>
            </w:r>
          </w:p>
        </w:tc>
      </w:tr>
      <w:tr w:rsidR="0077540F" w:rsidRPr="00B04A58" w14:paraId="3D8A75A4" w14:textId="77777777" w:rsidTr="00DE13C1">
        <w:trPr>
          <w:trHeight w:val="390"/>
        </w:trPr>
        <w:tc>
          <w:tcPr>
            <w:tcW w:w="3125" w:type="dxa"/>
          </w:tcPr>
          <w:p w14:paraId="4F5B7201" w14:textId="77777777" w:rsidR="0077540F" w:rsidRPr="00B04A58" w:rsidRDefault="0077540F" w:rsidP="00DE13C1">
            <w:pPr>
              <w:pStyle w:val="TableParagraph"/>
              <w:spacing w:line="260" w:lineRule="exact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Margin</w:t>
            </w:r>
          </w:p>
        </w:tc>
        <w:tc>
          <w:tcPr>
            <w:tcW w:w="6597" w:type="dxa"/>
          </w:tcPr>
          <w:p w14:paraId="02316F60" w14:textId="77777777" w:rsidR="0077540F" w:rsidRPr="00A428C6" w:rsidRDefault="0077540F" w:rsidP="00DE13C1">
            <w:pPr>
              <w:pStyle w:val="TableParagraph"/>
              <w:spacing w:line="260" w:lineRule="exact"/>
              <w:rPr>
                <w:sz w:val="23"/>
              </w:rPr>
            </w:pPr>
            <w:r w:rsidRPr="00A428C6">
              <w:rPr>
                <w:sz w:val="23"/>
              </w:rPr>
              <w:t>100%</w:t>
            </w:r>
            <w:r>
              <w:rPr>
                <w:sz w:val="23"/>
              </w:rPr>
              <w:t xml:space="preserve"> Early Pay-in from Buyers &amp; Sellers</w:t>
            </w:r>
          </w:p>
        </w:tc>
      </w:tr>
      <w:tr w:rsidR="0077540F" w:rsidRPr="00B04A58" w14:paraId="588AA39C" w14:textId="77777777" w:rsidTr="00DE13C1">
        <w:trPr>
          <w:trHeight w:val="367"/>
        </w:trPr>
        <w:tc>
          <w:tcPr>
            <w:tcW w:w="9722" w:type="dxa"/>
            <w:gridSpan w:val="2"/>
          </w:tcPr>
          <w:p w14:paraId="03CFDE2A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center"/>
              <w:rPr>
                <w:sz w:val="23"/>
              </w:rPr>
            </w:pPr>
            <w:r w:rsidRPr="00B04A58">
              <w:rPr>
                <w:b/>
                <w:sz w:val="23"/>
              </w:rPr>
              <w:t>Delivery</w:t>
            </w:r>
          </w:p>
        </w:tc>
      </w:tr>
      <w:tr w:rsidR="0077540F" w:rsidRPr="00B04A58" w14:paraId="4710A03B" w14:textId="77777777" w:rsidTr="00DE13C1">
        <w:trPr>
          <w:trHeight w:val="426"/>
        </w:trPr>
        <w:tc>
          <w:tcPr>
            <w:tcW w:w="3125" w:type="dxa"/>
          </w:tcPr>
          <w:p w14:paraId="59B373E8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Settlement Basis</w:t>
            </w:r>
          </w:p>
        </w:tc>
        <w:tc>
          <w:tcPr>
            <w:tcW w:w="6597" w:type="dxa"/>
          </w:tcPr>
          <w:p w14:paraId="54727C1F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>
              <w:rPr>
                <w:sz w:val="23"/>
              </w:rPr>
              <w:t>Compulsory in BDR form</w:t>
            </w:r>
          </w:p>
        </w:tc>
      </w:tr>
      <w:tr w:rsidR="0077540F" w:rsidRPr="00B04A58" w14:paraId="26AA9C4A" w14:textId="77777777" w:rsidTr="00DE13C1">
        <w:trPr>
          <w:trHeight w:val="426"/>
        </w:trPr>
        <w:tc>
          <w:tcPr>
            <w:tcW w:w="3125" w:type="dxa"/>
          </w:tcPr>
          <w:p w14:paraId="63DFD1A5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Delivery Unit</w:t>
            </w:r>
          </w:p>
        </w:tc>
        <w:tc>
          <w:tcPr>
            <w:tcW w:w="6597" w:type="dxa"/>
          </w:tcPr>
          <w:p w14:paraId="1C7A9B75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>
              <w:rPr>
                <w:sz w:val="23"/>
              </w:rPr>
              <w:t>20</w:t>
            </w:r>
            <w:r w:rsidRPr="00B04A58">
              <w:rPr>
                <w:sz w:val="23"/>
              </w:rPr>
              <w:t>kg</w:t>
            </w:r>
          </w:p>
        </w:tc>
      </w:tr>
      <w:tr w:rsidR="0077540F" w:rsidRPr="00B04A58" w14:paraId="1ED36958" w14:textId="77777777" w:rsidTr="00DE13C1">
        <w:trPr>
          <w:trHeight w:val="403"/>
        </w:trPr>
        <w:tc>
          <w:tcPr>
            <w:tcW w:w="3125" w:type="dxa"/>
          </w:tcPr>
          <w:p w14:paraId="7A3A92FA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Settlement</w:t>
            </w:r>
          </w:p>
        </w:tc>
        <w:tc>
          <w:tcPr>
            <w:tcW w:w="6597" w:type="dxa"/>
          </w:tcPr>
          <w:p w14:paraId="342587B1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B04A58">
              <w:rPr>
                <w:sz w:val="23"/>
              </w:rPr>
              <w:t>T+0</w:t>
            </w:r>
          </w:p>
        </w:tc>
      </w:tr>
      <w:tr w:rsidR="0077540F" w:rsidRPr="00B04A58" w14:paraId="4B86EE70" w14:textId="77777777" w:rsidTr="00DE13C1">
        <w:trPr>
          <w:trHeight w:val="403"/>
        </w:trPr>
        <w:tc>
          <w:tcPr>
            <w:tcW w:w="3125" w:type="dxa"/>
          </w:tcPr>
          <w:p w14:paraId="2F7D18DB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BDR Settlement Timing</w:t>
            </w:r>
          </w:p>
        </w:tc>
        <w:tc>
          <w:tcPr>
            <w:tcW w:w="6597" w:type="dxa"/>
          </w:tcPr>
          <w:p w14:paraId="6D2F52C3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rPr>
                <w:sz w:val="23"/>
              </w:rPr>
              <w:t>Every 30 minutes during Trading Hours</w:t>
            </w:r>
          </w:p>
        </w:tc>
      </w:tr>
      <w:tr w:rsidR="0077540F" w:rsidRPr="00B04A58" w14:paraId="4547BB0E" w14:textId="77777777" w:rsidTr="00DE13C1">
        <w:trPr>
          <w:trHeight w:val="403"/>
        </w:trPr>
        <w:tc>
          <w:tcPr>
            <w:tcW w:w="3125" w:type="dxa"/>
          </w:tcPr>
          <w:p w14:paraId="1276123C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BDR Pay-out</w:t>
            </w:r>
          </w:p>
        </w:tc>
        <w:tc>
          <w:tcPr>
            <w:tcW w:w="6597" w:type="dxa"/>
          </w:tcPr>
          <w:p w14:paraId="56A64F94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563692">
              <w:rPr>
                <w:sz w:val="23"/>
              </w:rPr>
              <w:t>Directly into the Demat Account of Client / LPTM</w:t>
            </w:r>
          </w:p>
        </w:tc>
      </w:tr>
      <w:tr w:rsidR="0077540F" w:rsidRPr="00B04A58" w14:paraId="5FE7D9EB" w14:textId="77777777" w:rsidTr="00DE13C1">
        <w:trPr>
          <w:trHeight w:val="403"/>
        </w:trPr>
        <w:tc>
          <w:tcPr>
            <w:tcW w:w="3125" w:type="dxa"/>
          </w:tcPr>
          <w:p w14:paraId="6BDFDD34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>
              <w:rPr>
                <w:b/>
                <w:sz w:val="23"/>
              </w:rPr>
              <w:t>Funds Settlement Timing</w:t>
            </w:r>
          </w:p>
        </w:tc>
        <w:tc>
          <w:tcPr>
            <w:tcW w:w="6597" w:type="dxa"/>
          </w:tcPr>
          <w:p w14:paraId="0635FAEC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563692">
              <w:rPr>
                <w:sz w:val="23"/>
              </w:rPr>
              <w:t>18:00 Hrs. to 21:00 Hrs. Indian Standard Time (IST) same day</w:t>
            </w:r>
          </w:p>
        </w:tc>
      </w:tr>
      <w:tr w:rsidR="0077540F" w:rsidRPr="00B04A58" w14:paraId="6715055D" w14:textId="77777777" w:rsidTr="00DE13C1">
        <w:trPr>
          <w:trHeight w:val="1181"/>
        </w:trPr>
        <w:tc>
          <w:tcPr>
            <w:tcW w:w="3125" w:type="dxa"/>
          </w:tcPr>
          <w:p w14:paraId="5C9FF053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Quality Specifications</w:t>
            </w:r>
          </w:p>
        </w:tc>
        <w:tc>
          <w:tcPr>
            <w:tcW w:w="6597" w:type="dxa"/>
          </w:tcPr>
          <w:p w14:paraId="7ED385D4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</w:pPr>
            <w:r w:rsidRPr="00B04A58">
              <w:t xml:space="preserve">Grade: 999 and Fineness: 999 (as per IS 2112: 1981) </w:t>
            </w:r>
          </w:p>
          <w:p w14:paraId="13C20284" w14:textId="77777777" w:rsidR="0077540F" w:rsidRPr="00B04A58" w:rsidRDefault="0077540F" w:rsidP="0077540F">
            <w:pPr>
              <w:pStyle w:val="TableParagraph"/>
              <w:numPr>
                <w:ilvl w:val="0"/>
                <w:numId w:val="1"/>
              </w:numPr>
              <w:spacing w:before="24" w:line="271" w:lineRule="auto"/>
              <w:ind w:right="288"/>
              <w:jc w:val="both"/>
            </w:pPr>
            <w:r w:rsidRPr="00B04A58">
              <w:t xml:space="preserve">No negative tolerance </w:t>
            </w:r>
            <w:proofErr w:type="gramStart"/>
            <w:r w:rsidRPr="00B04A58">
              <w:t>on</w:t>
            </w:r>
            <w:proofErr w:type="gramEnd"/>
            <w:r w:rsidRPr="00B04A58">
              <w:t xml:space="preserve"> the minimum fineness shall be permitted. </w:t>
            </w:r>
          </w:p>
          <w:p w14:paraId="14E73608" w14:textId="77777777" w:rsidR="0077540F" w:rsidRPr="00B04A58" w:rsidRDefault="0077540F" w:rsidP="0077540F">
            <w:pPr>
              <w:pStyle w:val="TableParagraph"/>
              <w:numPr>
                <w:ilvl w:val="0"/>
                <w:numId w:val="1"/>
              </w:numPr>
              <w:spacing w:before="24" w:line="271" w:lineRule="auto"/>
              <w:ind w:right="288"/>
              <w:jc w:val="both"/>
            </w:pPr>
            <w:r w:rsidRPr="00B04A58">
              <w:t xml:space="preserve">If it is below 999 purity it is rejected. </w:t>
            </w:r>
          </w:p>
          <w:p w14:paraId="05108D9A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t xml:space="preserve">Every bag must be sealed. The seal must carry an identifying number, the Accredited Member’s name, and/or hallmark/brand stamp and the exact total weight of the silver grains </w:t>
            </w:r>
            <w:proofErr w:type="gramStart"/>
            <w:r w:rsidRPr="00C9610F">
              <w:t>contained</w:t>
            </w:r>
            <w:proofErr w:type="gramEnd"/>
            <w:r>
              <w:t xml:space="preserve"> and it must be </w:t>
            </w:r>
            <w:r w:rsidRPr="00B04A58">
              <w:t xml:space="preserve">supplied by </w:t>
            </w:r>
            <w:r w:rsidRPr="00176B66">
              <w:t xml:space="preserve">UAE Good Delivery (UAEGD) approved suppliers or other suppliers as may be approved by IIBX. These </w:t>
            </w:r>
            <w:r>
              <w:t>Silver</w:t>
            </w:r>
            <w:r w:rsidRPr="00176B66">
              <w:t xml:space="preserve"> </w:t>
            </w:r>
            <w:r>
              <w:t>Grains</w:t>
            </w:r>
            <w:r w:rsidRPr="00176B66">
              <w:t xml:space="preserve"> are to be submitted along with supplier’s quality certificate.</w:t>
            </w:r>
          </w:p>
        </w:tc>
      </w:tr>
      <w:tr w:rsidR="0077540F" w:rsidRPr="00B04A58" w14:paraId="049B4B19" w14:textId="77777777" w:rsidTr="00DE13C1">
        <w:trPr>
          <w:trHeight w:val="1181"/>
        </w:trPr>
        <w:tc>
          <w:tcPr>
            <w:tcW w:w="3125" w:type="dxa"/>
            <w:vAlign w:val="center"/>
          </w:tcPr>
          <w:p w14:paraId="2C7BB85F" w14:textId="77777777" w:rsidR="0077540F" w:rsidRPr="00921859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</w:rPr>
            </w:pPr>
            <w:r w:rsidRPr="00921859">
              <w:rPr>
                <w:rFonts w:eastAsia="Times New Roman"/>
                <w:b/>
                <w:bCs/>
                <w:color w:val="000000"/>
                <w:lang w:val="en-IN" w:eastAsia="en-IN"/>
              </w:rPr>
              <w:t>Country of Origin</w:t>
            </w:r>
          </w:p>
        </w:tc>
        <w:tc>
          <w:tcPr>
            <w:tcW w:w="6597" w:type="dxa"/>
            <w:vAlign w:val="center"/>
          </w:tcPr>
          <w:p w14:paraId="215CEA75" w14:textId="77777777" w:rsidR="0077540F" w:rsidRPr="00921859" w:rsidRDefault="0077540F" w:rsidP="00DE13C1">
            <w:pPr>
              <w:pStyle w:val="TableParagraph"/>
              <w:spacing w:before="24" w:line="271" w:lineRule="auto"/>
              <w:ind w:right="288"/>
              <w:jc w:val="both"/>
            </w:pP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While depositing </w:t>
            </w:r>
            <w:r>
              <w:rPr>
                <w:rFonts w:eastAsia="Times New Roman"/>
                <w:color w:val="000000"/>
                <w:lang w:val="en-IN" w:eastAsia="en-IN"/>
              </w:rPr>
              <w:t>Silver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r>
              <w:rPr>
                <w:rFonts w:eastAsia="Times New Roman"/>
                <w:color w:val="000000"/>
                <w:lang w:val="en-IN" w:eastAsia="en-IN"/>
              </w:rPr>
              <w:t xml:space="preserve">Grains 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in the vaults, the </w:t>
            </w:r>
            <w:r>
              <w:rPr>
                <w:rFonts w:eastAsia="Times New Roman"/>
                <w:color w:val="000000"/>
                <w:lang w:val="en-IN" w:eastAsia="en-IN"/>
              </w:rPr>
              <w:t>Q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ualified </w:t>
            </w:r>
            <w:r>
              <w:rPr>
                <w:rFonts w:eastAsia="Times New Roman"/>
                <w:color w:val="000000"/>
                <w:lang w:val="en-IN" w:eastAsia="en-IN"/>
              </w:rPr>
              <w:t>S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upplier </w:t>
            </w:r>
            <w:r>
              <w:rPr>
                <w:rFonts w:eastAsia="Times New Roman"/>
                <w:color w:val="000000"/>
                <w:lang w:val="en-IN" w:eastAsia="en-IN"/>
              </w:rPr>
              <w:t>(First Importer in India)</w:t>
            </w:r>
            <w:r w:rsidRPr="00921859">
              <w:rPr>
                <w:rFonts w:eastAsia="Times New Roman"/>
                <w:color w:val="000000"/>
                <w:lang w:val="en-IN" w:eastAsia="en-IN"/>
              </w:rPr>
              <w:t xml:space="preserve"> must produce a Certificate of Origin issued by the </w:t>
            </w:r>
            <w:r w:rsidRPr="00563692">
              <w:rPr>
                <w:rFonts w:eastAsia="Times New Roman"/>
                <w:b/>
                <w:bCs/>
                <w:color w:val="000000"/>
                <w:lang w:val="en-IN" w:eastAsia="en-IN"/>
              </w:rPr>
              <w:t>Ministry of Economy in UAE.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7540F" w:rsidRPr="00B04A58" w14:paraId="50AD5CFC" w14:textId="77777777" w:rsidTr="00DE13C1">
        <w:trPr>
          <w:trHeight w:val="326"/>
        </w:trPr>
        <w:tc>
          <w:tcPr>
            <w:tcW w:w="3125" w:type="dxa"/>
          </w:tcPr>
          <w:p w14:paraId="549CA139" w14:textId="77777777" w:rsidR="0077540F" w:rsidRPr="00B04A58" w:rsidRDefault="0077540F" w:rsidP="00DE13C1">
            <w:pPr>
              <w:pStyle w:val="TableParagraph"/>
              <w:tabs>
                <w:tab w:val="left" w:pos="1462"/>
                <w:tab w:val="left" w:pos="2162"/>
                <w:tab w:val="left" w:pos="2620"/>
              </w:tabs>
              <w:spacing w:before="24" w:line="271" w:lineRule="auto"/>
              <w:ind w:right="93"/>
              <w:rPr>
                <w:b/>
                <w:sz w:val="23"/>
              </w:rPr>
            </w:pPr>
            <w:r w:rsidRPr="00B04A58">
              <w:rPr>
                <w:b/>
                <w:sz w:val="23"/>
              </w:rPr>
              <w:t>Delivery Logic</w:t>
            </w:r>
          </w:p>
        </w:tc>
        <w:tc>
          <w:tcPr>
            <w:tcW w:w="6597" w:type="dxa"/>
          </w:tcPr>
          <w:p w14:paraId="17E1E8D1" w14:textId="77777777" w:rsidR="0077540F" w:rsidRPr="00B04A58" w:rsidRDefault="0077540F" w:rsidP="00DE13C1">
            <w:pPr>
              <w:pStyle w:val="TableParagraph"/>
              <w:spacing w:before="24" w:line="271" w:lineRule="auto"/>
              <w:ind w:right="288"/>
              <w:jc w:val="both"/>
              <w:rPr>
                <w:sz w:val="23"/>
              </w:rPr>
            </w:pPr>
            <w:r w:rsidRPr="00C9610F">
              <w:rPr>
                <w:sz w:val="23"/>
              </w:rPr>
              <w:t>Compulsory in BDR form in the Demat account with the depository</w:t>
            </w:r>
            <w:r>
              <w:rPr>
                <w:sz w:val="23"/>
              </w:rPr>
              <w:t>.</w:t>
            </w:r>
          </w:p>
        </w:tc>
      </w:tr>
    </w:tbl>
    <w:p w14:paraId="0C15E345" w14:textId="77777777" w:rsidR="00B4171D" w:rsidRDefault="00B4171D"/>
    <w:sectPr w:rsidR="00B41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F4051"/>
    <w:multiLevelType w:val="hybridMultilevel"/>
    <w:tmpl w:val="30FA4C5E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5161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0F"/>
    <w:rsid w:val="00093A43"/>
    <w:rsid w:val="0077540F"/>
    <w:rsid w:val="009F724F"/>
    <w:rsid w:val="00B4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D530"/>
  <w15:chartTrackingRefBased/>
  <w15:docId w15:val="{49A4FA4C-25EE-4D00-8BA1-5936F536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0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4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540F"/>
  </w:style>
  <w:style w:type="character" w:customStyle="1" w:styleId="BodyTextChar">
    <w:name w:val="Body Text Char"/>
    <w:basedOn w:val="DefaultParagraphFont"/>
    <w:link w:val="BodyText"/>
    <w:uiPriority w:val="1"/>
    <w:rsid w:val="0077540F"/>
    <w:rPr>
      <w:rFonts w:ascii="Carlito" w:eastAsia="Carlito" w:hAnsi="Carlito" w:cs="Carlito"/>
      <w:lang w:val="en-US"/>
    </w:rPr>
  </w:style>
  <w:style w:type="paragraph" w:customStyle="1" w:styleId="TableParagraph">
    <w:name w:val="Table Paragraph"/>
    <w:basedOn w:val="Normal"/>
    <w:uiPriority w:val="1"/>
    <w:qFormat/>
    <w:rsid w:val="0077540F"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Lal</dc:creator>
  <cp:keywords/>
  <dc:description/>
  <cp:lastModifiedBy>Bihari Lal</cp:lastModifiedBy>
  <cp:revision>1</cp:revision>
  <dcterms:created xsi:type="dcterms:W3CDTF">2023-12-01T09:00:00Z</dcterms:created>
  <dcterms:modified xsi:type="dcterms:W3CDTF">2023-12-01T09:03:00Z</dcterms:modified>
</cp:coreProperties>
</file>